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2"/>
        <w:keepNext w:val="0"/>
        <w:keepLines w:val="0"/>
        <w:spacing w:after="80" w:lineRule="auto"/>
        <w:ind w:left="0" w:firstLine="0"/>
        <w:jc w:val="center"/>
        <w:rPr>
          <w:b w:val="1"/>
          <w:bCs w:val="1"/>
          <w:sz w:val="30"/>
          <w:szCs w:val="30"/>
        </w:rPr>
      </w:pPr>
      <w:bookmarkStart w:colFirst="0" w:colLast="0" w:name="_4xmdyvkqx489" w:id="0"/>
      <w:bookmarkEnd w:id="0"/>
      <w:r w:rsidDel="00000000" w:rsidR="00000000" w:rsidRPr="00000000">
        <w:rPr>
          <w:b w:val="1"/>
          <w:bCs w:val="1"/>
          <w:sz w:val="30"/>
          <w:szCs w:val="30"/>
          <w:rtl w:val="0"/>
        </w:rPr>
        <w:t xml:space="preserve">LEDDAL32 : Dalle LED 1200 x 300 mm – 32W – IP44</w:t>
      </w:r>
    </w:p>
    <w:p w:rsidR="00000000" w:rsidDel="00000000" w:rsidP="00000000" w:rsidRDefault="00000000" w:rsidRPr="00000000" w14:paraId="00000002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Dalle </w:t>
      </w:r>
      <w:r w:rsidDel="00000000" w:rsidR="00000000" w:rsidRPr="00000000">
        <w:rPr>
          <w:rtl w:val="0"/>
        </w:rPr>
        <w:t xml:space="preserve">LED - Éclairage tertiaire haute performance et confort visuel</w:t>
      </w:r>
    </w:p>
    <w:p w:rsidR="00000000" w:rsidDel="00000000" w:rsidP="00000000" w:rsidRDefault="00000000" w:rsidRPr="00000000" w14:paraId="00000003">
      <w:pPr>
        <w:numPr>
          <w:ilvl w:val="0"/>
          <w:numId w:val="1"/>
        </w:numPr>
        <w:spacing w:after="0" w:afterAutospacing="0" w:before="24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Matériaux :</w:t>
      </w:r>
      <w:r w:rsidDel="00000000" w:rsidR="00000000" w:rsidRPr="00000000">
        <w:rPr>
          <w:rtl w:val="0"/>
        </w:rPr>
        <w:t xml:space="preserve"> Diffuseur PPMA, Luminaire Aluminium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Protection :</w:t>
      </w:r>
      <w:r w:rsidDel="00000000" w:rsidR="00000000" w:rsidRPr="00000000">
        <w:rPr>
          <w:rtl w:val="0"/>
        </w:rPr>
        <w:t xml:space="preserve"> IP44 / IK08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Dimensions :</w:t>
      </w:r>
      <w:r w:rsidDel="00000000" w:rsidR="00000000" w:rsidRPr="00000000">
        <w:rPr>
          <w:rtl w:val="0"/>
        </w:rPr>
        <w:t xml:space="preserve"> 1200 x 300 mm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Poids :</w:t>
      </w:r>
      <w:r w:rsidDel="00000000" w:rsidR="00000000" w:rsidRPr="00000000">
        <w:rPr>
          <w:rtl w:val="0"/>
        </w:rPr>
        <w:t xml:space="preserve"> 4,200 kg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Consommation :</w:t>
      </w:r>
      <w:r w:rsidDel="00000000" w:rsidR="00000000" w:rsidRPr="00000000">
        <w:rPr>
          <w:rtl w:val="0"/>
        </w:rPr>
        <w:t xml:space="preserve"> 32 W</w:t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Alimentation :</w:t>
      </w:r>
      <w:r w:rsidDel="00000000" w:rsidR="00000000" w:rsidRPr="00000000">
        <w:rPr>
          <w:rtl w:val="0"/>
        </w:rPr>
        <w:t xml:space="preserve"> 200 – 240 V AC</w:t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Pilotage (selon version) :</w:t>
      </w:r>
      <w:r w:rsidDel="00000000" w:rsidR="00000000" w:rsidRPr="00000000">
        <w:rPr>
          <w:rtl w:val="0"/>
        </w:rPr>
        <w:t xml:space="preserve"> ON/OFF, DALI + Push, 0-10 V ou TRIAC 230 V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Flux lumineux :</w:t>
      </w:r>
      <w:r w:rsidDel="00000000" w:rsidR="00000000" w:rsidRPr="00000000">
        <w:rPr>
          <w:rtl w:val="0"/>
        </w:rPr>
        <w:t xml:space="preserve"> 3 611 lm</w:t>
      </w:r>
    </w:p>
    <w:p w:rsidR="00000000" w:rsidDel="00000000" w:rsidP="00000000" w:rsidRDefault="00000000" w:rsidRPr="00000000" w14:paraId="0000000B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Performance lumineuse :</w:t>
      </w:r>
      <w:r w:rsidDel="00000000" w:rsidR="00000000" w:rsidRPr="00000000">
        <w:rPr>
          <w:rtl w:val="0"/>
        </w:rPr>
        <w:t xml:space="preserve"> ~113 lm/W</w:t>
      </w:r>
    </w:p>
    <w:p w:rsidR="00000000" w:rsidDel="00000000" w:rsidP="00000000" w:rsidRDefault="00000000" w:rsidRPr="00000000" w14:paraId="0000000C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IRC :</w:t>
      </w:r>
      <w:r w:rsidDel="00000000" w:rsidR="00000000" w:rsidRPr="00000000">
        <w:rPr>
          <w:rtl w:val="0"/>
        </w:rPr>
        <w:t xml:space="preserve"> &gt; 80</w:t>
      </w:r>
    </w:p>
    <w:p w:rsidR="00000000" w:rsidDel="00000000" w:rsidP="00000000" w:rsidRDefault="00000000" w:rsidRPr="00000000" w14:paraId="0000000D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Température de couleur :</w:t>
      </w:r>
      <w:r w:rsidDel="00000000" w:rsidR="00000000" w:rsidRPr="00000000">
        <w:rPr>
          <w:rtl w:val="0"/>
        </w:rPr>
        <w:t xml:space="preserve"> 3 000 K (Blanc chaud) ou 4 000 K (Blanc neutre)</w:t>
      </w:r>
    </w:p>
    <w:p w:rsidR="00000000" w:rsidDel="00000000" w:rsidP="00000000" w:rsidRDefault="00000000" w:rsidRPr="00000000" w14:paraId="0000000E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Angle de diffusion :</w:t>
      </w:r>
      <w:r w:rsidDel="00000000" w:rsidR="00000000" w:rsidRPr="00000000">
        <w:rPr>
          <w:rtl w:val="0"/>
        </w:rPr>
        <w:t xml:space="preserve"> 120° (Lumière douce et homogène)</w:t>
      </w:r>
    </w:p>
    <w:p w:rsidR="00000000" w:rsidDel="00000000" w:rsidP="00000000" w:rsidRDefault="00000000" w:rsidRPr="00000000" w14:paraId="0000000F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Durée de vie :</w:t>
      </w:r>
      <w:r w:rsidDel="00000000" w:rsidR="00000000" w:rsidRPr="00000000">
        <w:rPr>
          <w:rtl w:val="0"/>
        </w:rPr>
        <w:t xml:space="preserve"> 50 000 heures</w:t>
      </w:r>
    </w:p>
    <w:p w:rsidR="00000000" w:rsidDel="00000000" w:rsidP="00000000" w:rsidRDefault="00000000" w:rsidRPr="00000000" w14:paraId="00000010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Température de fonctionnement :</w:t>
      </w:r>
      <w:r w:rsidDel="00000000" w:rsidR="00000000" w:rsidRPr="00000000">
        <w:rPr>
          <w:rtl w:val="0"/>
        </w:rPr>
        <w:t xml:space="preserve"> -40°C à +50°C</w:t>
      </w:r>
    </w:p>
    <w:p w:rsidR="00000000" w:rsidDel="00000000" w:rsidP="00000000" w:rsidRDefault="00000000" w:rsidRPr="00000000" w14:paraId="00000011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Résistance au fil incandescent :</w:t>
      </w:r>
      <w:r w:rsidDel="00000000" w:rsidR="00000000" w:rsidRPr="00000000">
        <w:rPr>
          <w:rtl w:val="0"/>
        </w:rPr>
        <w:t xml:space="preserve"> 850°C</w:t>
      </w:r>
    </w:p>
    <w:p w:rsidR="00000000" w:rsidDel="00000000" w:rsidP="00000000" w:rsidRDefault="00000000" w:rsidRPr="00000000" w14:paraId="00000012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Spécificités :</w:t>
      </w:r>
      <w:r w:rsidDel="00000000" w:rsidR="00000000" w:rsidRPr="00000000">
        <w:rPr>
          <w:rtl w:val="0"/>
        </w:rPr>
        <w:t xml:space="preserve"> Polyvalence de pose : encastrée en faux plafond, en saillie ou suspendue (kits en option). Idéale pour les bureaux (open space), l'hôtellerie et les zones tertiaires exigeantes.</w:t>
      </w:r>
    </w:p>
    <w:p w:rsidR="00000000" w:rsidDel="00000000" w:rsidP="00000000" w:rsidRDefault="00000000" w:rsidRPr="00000000" w14:paraId="00000013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Certifications :</w:t>
      </w:r>
      <w:r w:rsidDel="00000000" w:rsidR="00000000" w:rsidRPr="00000000">
        <w:rPr>
          <w:rtl w:val="0"/>
        </w:rPr>
        <w:t xml:space="preserve"> CE, RoHS, EN 60598-1, EN 60598-2</w:t>
      </w:r>
    </w:p>
    <w:p w:rsidR="00000000" w:rsidDel="00000000" w:rsidP="00000000" w:rsidRDefault="00000000" w:rsidRPr="00000000" w14:paraId="00000014">
      <w:pPr>
        <w:numPr>
          <w:ilvl w:val="0"/>
          <w:numId w:val="1"/>
        </w:numPr>
        <w:spacing w:after="24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Garantie :</w:t>
      </w:r>
      <w:r w:rsidDel="00000000" w:rsidR="00000000" w:rsidRPr="00000000">
        <w:rPr>
          <w:rtl w:val="0"/>
        </w:rPr>
        <w:t xml:space="preserve"> 5 ans</w:t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f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